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hanging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before="0" w:after="0"/>
        <w:ind w:hanging="0" w:left="119"/>
        <w:rPr>
          <w:rFonts w:ascii="Times New Roman" w:hAnsi="Times New Roman"/>
        </w:rPr>
      </w:pPr>
      <w:r>
        <w:rPr/>
        <w:drawing>
          <wp:inline distT="0" distB="0" distL="0" distR="0">
            <wp:extent cx="4030980" cy="854075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Raymond Coulombe\OneDrive\Database\Sponsors\BCD Video\Graphics\BCDVideo-logo -reduced 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ind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Title"/>
        <w:ind w:left="120"/>
        <w:rPr/>
      </w:pPr>
      <w:r>
        <w:rPr/>
        <w:t>A&amp;E 2020 Specification</w:t>
      </w:r>
    </w:p>
    <w:p>
      <w:pPr>
        <w:pStyle w:val="Title"/>
        <w:ind w:left="120"/>
        <w:rPr/>
      </w:pPr>
      <w:r>
        <w:rPr/>
        <w:t>ALE 6860 P24</w:t>
      </w:r>
    </w:p>
    <w:p>
      <w:pPr>
        <w:pStyle w:val="Title"/>
        <w:spacing w:lineRule="auto" w:line="276" w:before="125" w:after="0"/>
        <w:ind w:left="119" w:right="103"/>
        <w:rPr>
          <w:sz w:val="32"/>
          <w:szCs w:val="32"/>
        </w:rPr>
      </w:pPr>
      <w:r>
        <w:rPr>
          <w:sz w:val="32"/>
          <w:szCs w:val="32"/>
        </w:rPr>
        <w:t>1U 24 port PoE Switch</w:t>
      </w:r>
    </w:p>
    <w:p>
      <w:pPr>
        <w:pStyle w:val="BodyText"/>
        <w:spacing w:before="0" w:after="0"/>
        <w:ind w:hanging="0"/>
        <w:jc w:val="right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before="279" w:after="0"/>
        <w:ind w:left="120"/>
        <w:rPr>
          <w:b/>
        </w:rPr>
      </w:pPr>
      <w:r>
        <w:rPr>
          <w:b/>
        </w:rPr>
        <w:t>Notes to Specifier:</w:t>
      </w:r>
    </w:p>
    <w:p>
      <w:pPr>
        <w:pStyle w:val="BodyText"/>
        <w:spacing w:before="1" w:after="0"/>
        <w:ind w:hanging="0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2" w:leader="none"/>
        </w:tabs>
        <w:spacing w:lineRule="auto" w:line="278" w:before="0" w:after="0"/>
        <w:ind w:hanging="294" w:left="1134" w:right="406"/>
        <w:rPr>
          <w:b/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 xml:space="preserve"> </w:t>
      </w:r>
      <w:r>
        <w:rPr>
          <w:sz w:val="20"/>
        </w:rPr>
        <w:t>several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5"/>
          <w:sz w:val="20"/>
        </w:rPr>
        <w:t xml:space="preserve"> </w:t>
      </w:r>
      <w:r>
        <w:rPr>
          <w:sz w:val="20"/>
        </w:rPr>
        <w:t>parameters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3"/>
          <w:sz w:val="20"/>
        </w:rPr>
        <w:t xml:space="preserve"> </w:t>
      </w:r>
      <w:r>
        <w:rPr>
          <w:sz w:val="20"/>
        </w:rPr>
        <w:t>exist,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where,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specifier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the option of selecting and inserting text, such choices are presented in </w:t>
      </w:r>
      <w:r>
        <w:rPr>
          <w:b/>
          <w:sz w:val="20"/>
        </w:rPr>
        <w:t>&lt;bold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text&gt;.</w:t>
      </w:r>
    </w:p>
    <w:p>
      <w:pPr>
        <w:pStyle w:val="BodyText"/>
        <w:spacing w:before="6" w:after="0"/>
        <w:ind w:hanging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before="1" w:after="0"/>
        <w:ind w:hanging="277" w:left="1115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>
      <w:pPr>
        <w:pStyle w:val="ListParagraph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94" w:left="1134" w:right="406"/>
        <w:rPr>
          <w:sz w:val="20"/>
        </w:rPr>
      </w:pPr>
      <w:r>
        <w:rPr>
          <w:sz w:val="20"/>
        </w:rPr>
        <w:t>If there are any changes between the previous version of this document &amp; this updated version (2020), they are listed on the last page of this document.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Heading1"/>
        <w:spacing w:before="93" w:after="0"/>
        <w:ind w:left="1050" w:right="0"/>
        <w:jc w:val="left"/>
        <w:rPr/>
      </w:pPr>
      <w:r>
        <w:rPr/>
        <w:t>NETWORKING SWITCHES</w:t>
      </w:r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</w:rPr>
      </w:pPr>
      <w:r>
        <w:rPr>
          <w:b/>
        </w:rPr>
      </w:r>
      <w:bookmarkStart w:id="0" w:name="PART__1_GENERAL"/>
      <w:bookmarkEnd w:id="0"/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  <w:sz w:val="20"/>
        </w:rPr>
      </w:pPr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  <w:tab/>
      </w:r>
      <w:r>
        <w:rPr>
          <w:b/>
          <w:sz w:val="20"/>
        </w:rPr>
        <w:t>GENERAL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Summary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6"/>
        <w:ind w:hanging="361" w:left="1200" w:right="249"/>
        <w:rPr/>
      </w:pPr>
      <w:r>
        <w:rPr/>
        <w:t>A</w:t>
        <w:tab/>
        <w:t>This specification describes a 1U rack-mount enterprise class Networking Switch.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19" w:after="0"/>
        <w:rPr>
          <w:sz w:val="20"/>
        </w:rPr>
      </w:pPr>
      <w:r>
        <w:rPr>
          <w:sz w:val="20"/>
        </w:rPr>
        <w:t>Related Requirements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23 00 00 Heating, Ventilating, and Air Conditioning</w:t>
      </w:r>
      <w:r>
        <w:rPr>
          <w:spacing w:val="-4"/>
        </w:rPr>
        <w:t xml:space="preserve"> </w:t>
      </w:r>
      <w:r>
        <w:rPr/>
        <w:t>(HVAC)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1" w:leader="none"/>
          <w:tab w:val="left" w:pos="3000" w:leader="none"/>
        </w:tabs>
        <w:spacing w:before="157" w:after="0"/>
        <w:ind w:hanging="361" w:left="15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Central HVAC Equipment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1"/>
        <w:ind w:firstLine="360" w:left="840" w:right="3749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Decentralized HVAC Equipment B</w:t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0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  <w:tab/>
        <w:t>Communications Cabinets, Racks,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156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921" w:leader="none"/>
          <w:tab w:val="left" w:pos="3720" w:leader="none"/>
        </w:tabs>
        <w:ind w:hanging="361" w:left="192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>
      <w:pPr>
        <w:pStyle w:val="BodyText"/>
        <w:tabs>
          <w:tab w:val="clear" w:pos="720"/>
          <w:tab w:val="left" w:pos="1200" w:leader="none"/>
          <w:tab w:val="left" w:pos="2280" w:leader="none"/>
        </w:tabs>
        <w:ind w:hanging="0" w:left="840"/>
        <w:rPr/>
      </w:pPr>
      <w:r>
        <w:rPr/>
        <w:t>C</w:t>
        <w:tab/>
        <w:t>28</w:t>
      </w:r>
      <w:r>
        <w:rPr>
          <w:spacing w:val="-2"/>
        </w:rPr>
        <w:t xml:space="preserve"> </w:t>
      </w:r>
      <w:r>
        <w:rPr/>
        <w:t>01</w:t>
      </w:r>
      <w:r>
        <w:rPr>
          <w:spacing w:val="-2"/>
        </w:rPr>
        <w:t xml:space="preserve"> </w:t>
      </w:r>
      <w:r>
        <w:rPr/>
        <w:t>00</w:t>
        <w:tab/>
        <w:t>Operation and Maintenance of Electronic Safety and</w:t>
      </w:r>
      <w:r>
        <w:rPr>
          <w:spacing w:val="-2"/>
        </w:rPr>
        <w:t xml:space="preserve"> </w:t>
      </w:r>
      <w:r>
        <w:rPr/>
        <w:t>Security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3" w:before="155" w:after="5"/>
        <w:ind w:firstLine="360" w:left="840" w:right="219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 Electronic Safety 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7524" w:type="dxa"/>
        <w:jc w:val="left"/>
        <w:tblInd w:w="1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516"/>
        <w:gridCol w:w="6008"/>
      </w:tblGrid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23" w:before="0" w:after="0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23" w:before="0" w:after="0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4" w:after="0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4" w:after="0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10" w:before="73" w:after="0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10"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Unified Systems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spacing w:lineRule="auto" w:line="403"/>
        <w:ind w:hanging="0" w:left="840" w:right="3004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Commissioning of Electronic Safety and Security G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lineRule="exact" w:line="228" w:before="0" w:after="0"/>
        <w:rPr>
          <w:sz w:val="20"/>
        </w:rPr>
      </w:pPr>
      <w:r>
        <w:rPr>
          <w:sz w:val="20"/>
        </w:rPr>
        <w:t>References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Abbreviations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10" w:after="0"/>
        <w:rPr>
          <w:sz w:val="19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3" w:after="0"/>
        <w:ind w:hanging="361" w:left="1559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NVMe – Non-Volatile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6" w:after="0"/>
        <w:ind w:hanging="362" w:left="1559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SCSI - Small Computer System Interface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SSD - Solid State 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9" w:leader="none"/>
          <w:tab w:val="left" w:pos="1560" w:leader="none"/>
        </w:tabs>
        <w:spacing w:lineRule="atLeast" w:line="380" w:before="7" w:after="0"/>
        <w:ind w:firstLine="359" w:left="839" w:right="4973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60" w:leader="none"/>
        </w:tabs>
        <w:spacing w:before="98" w:after="0"/>
        <w:ind w:hanging="361" w:left="1559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99" w:leader="none"/>
          <w:tab w:val="left" w:pos="1560" w:leader="none"/>
        </w:tabs>
        <w:spacing w:lineRule="auto" w:line="338" w:before="94" w:after="0"/>
        <w:ind w:firstLine="360" w:left="839" w:right="3384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  <w:tab/>
        <w:t>Definitions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60" w:leader="none"/>
        </w:tabs>
        <w:spacing w:lineRule="auto" w:line="276" w:before="2" w:after="0"/>
        <w:ind w:hanging="360" w:left="1558"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59" w:leader="none"/>
        </w:tabs>
        <w:spacing w:lineRule="auto" w:line="276" w:before="59" w:after="0"/>
        <w:ind w:hanging="360" w:left="1558"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8" w:leader="none"/>
          <w:tab w:val="left" w:pos="839" w:leader="none"/>
        </w:tabs>
        <w:spacing w:before="121" w:after="0"/>
        <w:ind w:hanging="721" w:left="838"/>
        <w:rPr>
          <w:sz w:val="20"/>
        </w:rPr>
      </w:pPr>
      <w:r>
        <w:rPr>
          <w:sz w:val="20"/>
        </w:rPr>
        <w:t>Submittals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Product Data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spacing w:before="157" w:after="0"/>
        <w:ind w:hanging="361" w:left="1918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Closeout Submittals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19" w:leader="none"/>
        </w:tabs>
        <w:spacing w:before="10" w:after="0"/>
        <w:ind w:hanging="0" w:left="1559"/>
        <w:rPr>
          <w:sz w:val="19"/>
        </w:rPr>
      </w:pPr>
      <w:r>
        <w:rPr>
          <w:sz w:val="20"/>
        </w:rPr>
        <w:t>Final listing of devices and settings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20" w:leader="none"/>
        </w:tabs>
        <w:spacing w:lineRule="auto" w:line="276" w:before="93" w:after="0"/>
        <w:ind w:hanging="360"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99" w:leader="none"/>
          <w:tab w:val="left" w:pos="1919" w:leader="none"/>
          <w:tab w:val="left" w:pos="1920" w:leader="none"/>
        </w:tabs>
        <w:spacing w:lineRule="auto" w:line="401" w:before="119" w:after="0"/>
        <w:ind w:firstLine="720" w:left="839" w:right="4913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lineRule="auto" w:line="276" w:before="3" w:after="0"/>
        <w:ind w:hanging="360" w:left="1559"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before="119" w:after="0"/>
        <w:ind w:hanging="361" w:left="1559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20" w:leader="none"/>
        </w:tabs>
        <w:spacing w:lineRule="auto" w:line="276"/>
        <w:ind w:hanging="360" w:left="1919"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>
      <w:pPr>
        <w:pStyle w:val="BodyText"/>
        <w:tabs>
          <w:tab w:val="clear" w:pos="720"/>
          <w:tab w:val="left" w:pos="1199" w:leader="none"/>
        </w:tabs>
        <w:spacing w:before="121" w:after="0"/>
        <w:ind w:hanging="0" w:left="839"/>
        <w:rPr/>
      </w:pPr>
      <w:r>
        <w:rPr/>
        <w:t>C</w:t>
        <w:tab/>
        <w:t>Product Delivery, Storage, and</w:t>
      </w:r>
      <w:r>
        <w:rPr>
          <w:spacing w:val="1"/>
        </w:rPr>
        <w:t xml:space="preserve"> </w:t>
      </w:r>
      <w:r>
        <w:rPr/>
        <w:t>Handling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360" w:left="1559"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0" w:leader="none"/>
        </w:tabs>
        <w:spacing w:lineRule="auto" w:line="276" w:before="156" w:after="0"/>
        <w:ind w:hanging="360"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>
      <w:pPr>
        <w:pStyle w:val="Normal"/>
        <w:rPr>
          <w:rFonts w:eastAsia="Times New Roman"/>
          <w:sz w:val="20"/>
          <w:szCs w:val="20"/>
        </w:rPr>
      </w:pPr>
      <w:r>
        <w:rPr/>
        <w:t>A</w:t>
        <w:tab/>
      </w:r>
      <w:r>
        <w:rPr>
          <w:sz w:val="20"/>
          <w:szCs w:val="20"/>
        </w:rPr>
        <w:t xml:space="preserve">This product is covered by a </w:t>
      </w:r>
      <w:r>
        <w:rPr>
          <w:rFonts w:eastAsia="Times New Roman"/>
          <w:sz w:val="20"/>
          <w:szCs w:val="20"/>
        </w:rPr>
        <w:t>3-Year, 24/7 Support with Advanced Next-Day Replacement</w:t>
      </w:r>
      <w:r>
        <w:rPr>
          <w:sz w:val="20"/>
          <w:szCs w:val="20"/>
        </w:rPr>
        <w:t>.</w:t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BodyText"/>
        <w:spacing w:before="0" w:after="0"/>
        <w:ind w:hanging="0"/>
        <w:rPr>
          <w:i/>
          <w:sz w:val="22"/>
        </w:rPr>
      </w:pPr>
      <w:r>
        <w:rPr>
          <w:i/>
          <w:sz w:val="22"/>
        </w:rPr>
      </w:r>
    </w:p>
    <w:p>
      <w:pPr>
        <w:pStyle w:val="Heading1"/>
        <w:spacing w:before="128" w:after="0"/>
        <w:ind w:left="417" w:right="326"/>
        <w:rPr/>
      </w:pPr>
      <w:r>
        <w:rPr/>
      </w:r>
      <w:bookmarkStart w:id="2" w:name="END_OF_SECTION"/>
      <w:bookmarkEnd w:id="2"/>
    </w:p>
    <w:p>
      <w:pPr>
        <w:pStyle w:val="Heading1"/>
        <w:spacing w:before="128" w:after="0"/>
        <w:ind w:left="417" w:right="326"/>
        <w:rPr>
          <w:b w:val="false"/>
          <w:sz w:val="19"/>
        </w:rPr>
      </w:pPr>
      <w:r>
        <w:rPr/>
        <w:t>END OF SECTION</w:t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  <w:bookmarkStart w:id="3" w:name="PART__2_PRODUCTS"/>
      <w:bookmarkEnd w:id="3"/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  <w:sz w:val="20"/>
        </w:rPr>
      </w:pPr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  <w:tab/>
      </w:r>
      <w:r>
        <w:rPr>
          <w:b/>
          <w:sz w:val="20"/>
        </w:rPr>
        <w:t>PRODUCTS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Manufacturer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rPr>
          <w:sz w:val="20"/>
        </w:rPr>
      </w:pPr>
      <w:r>
        <w:rPr>
          <w:sz w:val="20"/>
        </w:rPr>
        <w:t>BCDVideo</w:t>
      </w:r>
    </w:p>
    <w:p>
      <w:pPr>
        <w:pStyle w:val="BodyText"/>
        <w:spacing w:lineRule="auto" w:line="401"/>
        <w:ind w:hanging="0" w:left="1560" w:right="3748"/>
        <w:rPr/>
      </w:pPr>
      <w:r>
        <w:rPr/>
        <w:t>901 Deerfield Pkwy, Buffalo Grove, IL 60089 Phone: +1 847 205-1922</w:t>
      </w:r>
    </w:p>
    <w:p>
      <w:pPr>
        <w:pStyle w:val="BodyText"/>
        <w:spacing w:lineRule="auto" w:line="401" w:before="2" w:after="0"/>
        <w:ind w:hanging="0" w:left="1560" w:right="3748"/>
        <w:rPr/>
      </w:pPr>
      <w:hyperlink r:id="rId3">
        <w:r>
          <w:rPr>
            <w:rStyle w:val="Style7"/>
            <w:color w:val="0562C1"/>
            <w:u w:val="single" w:color="0562C1"/>
          </w:rPr>
          <w:t>support@bcdvideo.com</w:t>
        </w:r>
      </w:hyperlink>
      <w:r>
        <w:rPr>
          <w:color w:val="0562C1"/>
        </w:rPr>
        <w:t xml:space="preserve"> </w:t>
      </w:r>
      <w:r>
        <w:rPr>
          <w:w w:val="95"/>
        </w:rPr>
        <w:t>https://</w:t>
      </w:r>
      <w:hyperlink r:id="rId4">
        <w:r>
          <w:rPr>
            <w:rStyle w:val="Style7"/>
            <w:w w:val="95"/>
          </w:rPr>
          <w:t>www.bcdvideo.com</w:t>
        </w:r>
      </w:hyperlink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spacing w:lineRule="exact" w:line="230" w:before="0" w:after="0"/>
        <w:rPr>
          <w:sz w:val="20"/>
        </w:rPr>
      </w:pPr>
      <w:r>
        <w:rPr>
          <w:sz w:val="20"/>
        </w:rPr>
        <w:t>Products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1U 24 port Network Switch</w:t>
        <w:tab/>
        <w:t>BCD ALE 6860 p48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  <w:tab w:val="left" w:pos="840" w:leader="none"/>
        </w:tabs>
        <w:ind w:hanging="721" w:left="839"/>
        <w:rPr>
          <w:b/>
          <w:bCs/>
          <w:sz w:val="20"/>
        </w:rPr>
      </w:pPr>
      <w:r>
        <w:rPr>
          <w:b/>
          <w:bCs/>
          <w:sz w:val="20"/>
        </w:rPr>
        <w:t>Description (General)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The</w:t>
      </w:r>
      <w:r>
        <w:rPr>
          <w:spacing w:val="-5"/>
          <w:sz w:val="20"/>
          <w:szCs w:val="20"/>
        </w:rPr>
        <w:t xml:space="preserve"> Switch sh</w:t>
      </w:r>
      <w:r>
        <w:rPr>
          <w:sz w:val="20"/>
          <w:szCs w:val="20"/>
        </w:rPr>
        <w:t>all support zero touch configuration.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Zero touch to include internal switch fabric and connectivity to SAN.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support LACP 802.3ad.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support IEEE 802.1aq, shortest path bridging.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automatically and dynamically load balance traffic.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configure into a virtual chassis.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Switching shall support active-active networking for lossless failover and load balancing.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  <w:szCs w:val="20"/>
        </w:rPr>
        <w:t>Switch shall support IEEE 802.3at/af/bt.</w:t>
      </w:r>
    </w:p>
    <w:p>
      <w:pPr>
        <w:pStyle w:val="Normal"/>
        <w:tabs>
          <w:tab w:val="clear" w:pos="720"/>
          <w:tab w:val="left" w:pos="1199" w:leader="none"/>
          <w:tab w:val="left" w:pos="1200" w:leader="none"/>
        </w:tabs>
        <w:spacing w:lineRule="auto" w:line="278" w:before="119" w:after="0"/>
        <w:ind w:left="838" w:right="506"/>
        <w:rPr>
          <w:b/>
          <w:bCs/>
          <w:sz w:val="20"/>
        </w:rPr>
      </w:pPr>
      <w:r>
        <w:rPr>
          <w:b/>
          <w:bCs/>
          <w:sz w:val="20"/>
        </w:rPr>
        <w:t>Switch Technical Specifications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before="117" w:after="0"/>
        <w:rPr>
          <w:sz w:val="20"/>
        </w:rPr>
      </w:pPr>
      <w:r>
        <w:rPr>
          <w:sz w:val="20"/>
        </w:rPr>
        <w:t>POE Network Ports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Number:</w:t>
        <w:tab/>
        <w:t>&lt;24&gt;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Type:</w:t>
        <w:tab/>
        <w:t>10/100/1000 Base-T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 xml:space="preserve">Additional Ports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(1) USB Port, (1) Console Port, (1) RS232 Port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(4) Gigabit / 10Gigabit SFP+ ports, MACsec capable ports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Power Supply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  <w:szCs w:val="20"/>
        </w:rPr>
      </w:pPr>
      <w:r>
        <w:rPr>
          <w:sz w:val="20"/>
          <w:szCs w:val="20"/>
        </w:rPr>
        <w:t>Internal PSU:</w:t>
        <w:tab/>
        <w:tab/>
        <w:t>450W (second PS optional available)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Memory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Flash Memory:</w:t>
        <w:tab/>
        <w:t>2GB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DRAM: </w:t>
        <w:tab/>
        <w:tab/>
        <w:t>2GB</w:t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Cooling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(1) Fan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Switch Performance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Max Switching Capacity: </w:t>
        <w:tab/>
        <w:t>(aggregated) up to 256Gb/s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Throughput:</w:t>
        <w:tab/>
        <w:tab/>
        <w:tab/>
        <w:t>up to 172.6Mbps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Latency:</w:t>
        <w:tab/>
        <w:tab/>
        <w:tab/>
        <w:t>Sub 650 n</w:t>
      </w:r>
      <w:r>
        <w:rPr/>
        <w:t>s</w:t>
      </w:r>
    </w:p>
    <w:p>
      <w:pPr>
        <w:pStyle w:val="Normal"/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Mean Time Between Failure (MTBF)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At 25</w:t>
      </w:r>
      <w:r>
        <w:rPr>
          <w:sz w:val="20"/>
        </w:rPr>
        <w:t>°C</w:t>
      </w:r>
      <w:r>
        <w:rPr>
          <w:sz w:val="20"/>
          <w:szCs w:val="20"/>
        </w:rPr>
        <w:t xml:space="preserve">: </w:t>
        <w:tab/>
        <w:tab/>
        <w:tab/>
        <w:t>126,601 h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Environmental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</w:tabs>
        <w:spacing w:before="0" w:after="0"/>
        <w:rPr>
          <w:sz w:val="20"/>
        </w:rPr>
      </w:pPr>
      <w:r>
        <w:rPr>
          <w:sz w:val="20"/>
        </w:rPr>
        <w:t xml:space="preserve">Operating temperature: </w:t>
        <w:tab/>
        <w:t>0°C to 45°C (32°F to 113°F)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Storage Temperature:</w:t>
        <w:tab/>
        <w:tab/>
        <w:t>-40°C to 85°C (-40°F to 185°F)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  <w:tab/>
        <w:tab/>
        <w:t>5 to 95%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Mechanical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7" w:leader="none"/>
          <w:tab w:val="left" w:pos="3716" w:leader="none"/>
        </w:tabs>
        <w:rPr>
          <w:sz w:val="20"/>
          <w:szCs w:val="20"/>
        </w:rPr>
      </w:pPr>
      <w:r>
        <w:rPr/>
        <w:t>Dimensions:</w:t>
        <w:tab/>
        <w:tab/>
      </w:r>
      <w:r>
        <w:rPr>
          <w:sz w:val="20"/>
          <w:szCs w:val="20"/>
        </w:rPr>
        <w:t>Width 44.0 cm (17.32 in)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Depth 35.0 cm (13.78 in.)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Height 4.4 cm (1.73 in.)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 (Chassis &amp; Fan):</w:t>
        <w:tab/>
        <w:t>5.03 kg (11.0 lb)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 (Fully Populated):</w:t>
        <w:tab/>
        <w:t>6.49 kg (14.3 lb)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Electrical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58" w:leader="none"/>
        </w:tabs>
        <w:spacing w:before="3" w:after="0"/>
        <w:ind w:hanging="361" w:left="1557"/>
        <w:rPr>
          <w:sz w:val="20"/>
        </w:rPr>
      </w:pPr>
      <w:r>
        <w:rPr>
          <w:sz w:val="20"/>
        </w:rPr>
        <w:t xml:space="preserve">Power: 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  <w:tab/>
        <w:tab/>
        <w:t>AC = 1 x &lt;450&gt;W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rPr>
          <w:sz w:val="20"/>
        </w:rPr>
      </w:pPr>
      <w:r>
        <w:rPr>
          <w:sz w:val="20"/>
        </w:rPr>
        <w:t>Input Voltage / Current:</w:t>
        <w:tab/>
        <w:t xml:space="preserve">90 V to 136 VAC/8.5 A </w:t>
      </w:r>
    </w:p>
    <w:p>
      <w:pPr>
        <w:pStyle w:val="ListParagraph"/>
        <w:tabs>
          <w:tab w:val="clear" w:pos="720"/>
          <w:tab w:val="left" w:pos="1918" w:leader="none"/>
          <w:tab w:val="left" w:pos="3716" w:leader="none"/>
        </w:tabs>
        <w:ind w:hanging="0" w:left="1917"/>
        <w:rPr>
          <w:sz w:val="20"/>
        </w:rPr>
      </w:pPr>
      <w:r>
        <w:rPr>
          <w:sz w:val="20"/>
        </w:rPr>
        <w:tab/>
        <w:tab/>
        <w:tab/>
        <w:t>180 V to 264 VAC/4.25 A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  <w:szCs w:val="20"/>
        </w:rPr>
      </w:pPr>
      <w:r>
        <w:rPr>
          <w:sz w:val="20"/>
          <w:szCs w:val="20"/>
        </w:rPr>
        <w:t>POE Power Available:</w:t>
        <w:tab/>
        <w:t>450W single PSU / 900W dual PSU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76" w:leader="none"/>
          <w:tab w:val="left" w:pos="1560" w:leader="none"/>
          <w:tab w:val="left" w:pos="1917" w:leader="none"/>
          <w:tab w:val="left" w:pos="3716" w:leader="none"/>
        </w:tabs>
        <w:spacing w:lineRule="auto" w:line="401" w:before="93" w:after="0"/>
        <w:ind w:hanging="361" w:left="1916" w:right="386"/>
        <w:rPr>
          <w:sz w:val="20"/>
        </w:rPr>
      </w:pPr>
      <w:r>
        <w:rPr>
          <w:sz w:val="20"/>
        </w:rPr>
        <w:t>Max 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  <w:tab/>
      </w:r>
      <w:r>
        <w:rPr>
          <w:b/>
          <w:sz w:val="20"/>
        </w:rPr>
        <w:t>&lt;1535&gt;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1PSU / </w:t>
      </w:r>
      <w:r>
        <w:rPr>
          <w:b/>
          <w:sz w:val="20"/>
        </w:rPr>
        <w:t>&lt;3070&gt;</w:t>
      </w:r>
      <w:r>
        <w:rPr>
          <w:b/>
          <w:spacing w:val="-2"/>
          <w:sz w:val="20"/>
        </w:rPr>
        <w:t xml:space="preserve"> </w:t>
      </w:r>
      <w:r>
        <w:rPr>
          <w:bCs/>
          <w:spacing w:val="-2"/>
          <w:sz w:val="20"/>
        </w:rPr>
        <w:t>2</w:t>
      </w:r>
      <w:r>
        <w:rPr>
          <w:sz w:val="20"/>
        </w:rPr>
        <w:t>PSU, BTU/hr</w:t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Heading1"/>
        <w:rPr/>
      </w:pPr>
      <w:r>
        <w:rPr/>
        <w:t>END OF SECTION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</w:rPr>
      </w:pPr>
      <w:r>
        <w:rPr>
          <w:b/>
        </w:rPr>
      </w:r>
      <w:bookmarkStart w:id="4" w:name="PART__3_EXECUTION"/>
      <w:bookmarkEnd w:id="4"/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  <w:sz w:val="20"/>
        </w:rPr>
      </w:pPr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  <w:tab/>
      </w:r>
      <w:r>
        <w:rPr>
          <w:b/>
          <w:sz w:val="20"/>
        </w:rPr>
        <w:t>EXECUTION</w:t>
      </w:r>
    </w:p>
    <w:p>
      <w:pPr>
        <w:pStyle w:val="BodyText"/>
        <w:spacing w:before="5" w:after="0"/>
        <w:ind w:hanging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39" w:leader="none"/>
          <w:tab w:val="left" w:pos="841" w:leader="none"/>
        </w:tabs>
        <w:spacing w:before="0" w:after="0"/>
        <w:ind w:hanging="722" w:left="840"/>
        <w:rPr>
          <w:sz w:val="20"/>
        </w:rPr>
      </w:pPr>
      <w:r>
        <w:rPr>
          <w:sz w:val="20"/>
        </w:rPr>
        <w:t>Installers</w:t>
      </w:r>
    </w:p>
    <w:p>
      <w:pPr>
        <w:pStyle w:val="BodyText"/>
        <w:tabs>
          <w:tab w:val="clear" w:pos="720"/>
          <w:tab w:val="left" w:pos="1200" w:leader="none"/>
        </w:tabs>
        <w:spacing w:lineRule="auto" w:line="401" w:before="157" w:after="0"/>
        <w:ind w:hanging="1" w:left="840" w:right="296"/>
        <w:rPr/>
      </w:pPr>
      <w:r>
        <w:rPr/>
        <w:t>A</w:t>
        <w:tab/>
        <w:t>Contractor</w:t>
      </w:r>
      <w:r>
        <w:rPr>
          <w:spacing w:val="-2"/>
        </w:rPr>
        <w:t xml:space="preserve"> </w:t>
      </w:r>
      <w:r>
        <w:rPr/>
        <w:t>personnel</w:t>
      </w:r>
      <w:r>
        <w:rPr>
          <w:spacing w:val="-5"/>
        </w:rPr>
        <w:t xml:space="preserve"> </w:t>
      </w:r>
      <w:r>
        <w:rPr/>
        <w:t>shall</w:t>
      </w:r>
      <w:r>
        <w:rPr>
          <w:spacing w:val="-3"/>
        </w:rPr>
        <w:t xml:space="preserve"> </w:t>
      </w:r>
      <w:r>
        <w:rPr/>
        <w:t>comply</w:t>
      </w:r>
      <w:r>
        <w:rPr>
          <w:spacing w:val="-5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all</w:t>
      </w:r>
      <w:r>
        <w:rPr>
          <w:spacing w:val="-5"/>
        </w:rPr>
        <w:t xml:space="preserve"> </w:t>
      </w:r>
      <w:r>
        <w:rPr/>
        <w:t>applicable</w:t>
      </w:r>
      <w:r>
        <w:rPr>
          <w:spacing w:val="-4"/>
        </w:rPr>
        <w:t xml:space="preserve"> </w:t>
      </w:r>
      <w:r>
        <w:rPr/>
        <w:t>state</w:t>
      </w:r>
      <w:r>
        <w:rPr>
          <w:spacing w:val="-2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local</w:t>
      </w:r>
      <w:r>
        <w:rPr>
          <w:spacing w:val="-5"/>
        </w:rPr>
        <w:t xml:space="preserve"> </w:t>
      </w:r>
      <w:r>
        <w:rPr/>
        <w:t>licensing</w:t>
      </w:r>
      <w:r>
        <w:rPr>
          <w:spacing w:val="-4"/>
        </w:rPr>
        <w:t xml:space="preserve"> </w:t>
      </w:r>
      <w:r>
        <w:rPr/>
        <w:t>requirements. B</w:t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rPr/>
        <w:t>certifications.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0" w:after="0"/>
        <w:rPr>
          <w:sz w:val="20"/>
        </w:rPr>
      </w:pPr>
      <w:bookmarkStart w:id="5" w:name="A_The_network_design_and_configuration_s"/>
      <w:bookmarkStart w:id="6" w:name="3.02_Preparation"/>
      <w:bookmarkEnd w:id="5"/>
      <w:bookmarkEnd w:id="6"/>
      <w:r>
        <w:rPr>
          <w:sz w:val="20"/>
        </w:rPr>
        <w:t>Preparation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20" w:after="0"/>
        <w:ind w:hanging="361" w:left="1200"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19" w:after="0"/>
        <w:ind w:hanging="361" w:left="1200"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>
      <w:pPr>
        <w:pStyle w:val="BodyText"/>
        <w:spacing w:before="10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1" w:after="0"/>
        <w:rPr>
          <w:sz w:val="20"/>
        </w:rPr>
      </w:pPr>
      <w:r>
        <w:rPr>
          <w:sz w:val="20"/>
        </w:rPr>
        <w:t>Installation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8"/>
        <w:ind w:hanging="361" w:left="1200" w:right="237"/>
        <w:rPr/>
      </w:pPr>
      <w:r>
        <w:rPr/>
        <w:t>A</w:t>
        <w:tab/>
        <w:t>Contractor shall follow manufacturer published installation and configuration instructions and guidelines.</w:t>
      </w:r>
    </w:p>
    <w:p>
      <w:pPr>
        <w:pStyle w:val="BodyText"/>
        <w:spacing w:before="6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2" w:leader="none"/>
          <w:tab w:val="left" w:pos="1201" w:leader="none"/>
        </w:tabs>
        <w:spacing w:lineRule="auto" w:line="276" w:before="0" w:after="0"/>
        <w:ind w:hanging="721" w:left="840" w:right="569"/>
        <w:rPr/>
      </w:pPr>
      <w:r>
        <w:rPr>
          <w:sz w:val="20"/>
        </w:rPr>
        <w:t>Storage</w:t>
      </w:r>
    </w:p>
    <w:p>
      <w:pPr>
        <w:pStyle w:val="Normal"/>
        <w:tabs>
          <w:tab w:val="clear" w:pos="720"/>
          <w:tab w:val="left" w:pos="840" w:leader="none"/>
          <w:tab w:val="left" w:pos="842" w:leader="none"/>
          <w:tab w:val="left" w:pos="1201" w:leader="none"/>
        </w:tabs>
        <w:spacing w:lineRule="auto" w:line="276"/>
        <w:ind w:hanging="1200" w:left="1200" w:right="569"/>
        <w:rPr/>
      </w:pPr>
      <w:r>
        <w:rPr/>
        <w:tab/>
        <w:t>A</w:t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rPr/>
        <w:t>Manufacturer.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1" w:leader="none"/>
        </w:tabs>
        <w:spacing w:lineRule="auto" w:line="360"/>
        <w:rPr>
          <w:sz w:val="20"/>
        </w:rPr>
      </w:pPr>
      <w:r>
        <w:rPr>
          <w:sz w:val="20"/>
        </w:rPr>
        <w:t>Cyber Security</w:t>
      </w:r>
    </w:p>
    <w:p>
      <w:pPr>
        <w:pStyle w:val="BodyText"/>
        <w:spacing w:before="0" w:after="0"/>
        <w:ind w:firstLine="709"/>
        <w:rPr/>
      </w:pPr>
      <w:r>
        <w:rPr/>
        <w:t>A</w:t>
        <w:tab/>
        <w:t>AOS Secured Diversified Code Protection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protects networks from intrinsic vulnerabilities, code exploits, embedded malware, and potential back doors that could compromise mission critical operations.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defense approach toward network security that continuously defines and implements value-add capabilities to address both current and future threats.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Heading1"/>
        <w:spacing w:before="131" w:after="0"/>
        <w:ind w:left="419" w:right="326"/>
        <w:rPr/>
      </w:pPr>
      <w:r>
        <w:rPr/>
        <w:t>END OF SECTION</w:t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0" w:after="0"/>
        <w:ind w:left="0" w:right="326"/>
        <w:jc w:val="left"/>
        <w:rPr/>
      </w:pPr>
      <w:r>
        <w:rPr/>
        <w:t>Changes since last version of this document:</w:t>
      </w:r>
    </w:p>
    <w:p>
      <w:pPr>
        <w:pStyle w:val="Heading1"/>
        <w:spacing w:before="130" w:after="0"/>
        <w:ind w:left="0" w:right="102"/>
        <w:jc w:val="lef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Note: All changes so far to this document are formatting &amp; layout so don’t affect the specifications in any way.</w:t>
      </w:r>
    </w:p>
    <w:p>
      <w:pPr>
        <w:pStyle w:val="Heading1"/>
        <w:spacing w:before="131" w:after="0"/>
        <w:ind w:left="0" w:right="326"/>
        <w:jc w:val="left"/>
        <w:rPr/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2240" w:h="15840"/>
      <w:pgMar w:left="1320" w:right="1320" w:gutter="0" w:header="516" w:top="1700" w:footer="549" w:bottom="7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15" behindDoc="1" locked="0" layoutInCell="0" allowOverlap="1" wp14:anchorId="17232732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4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4.15pt;margin-top:753.55pt;width:55.05pt;height:13.1pt;mso-wrap-style:square;v-text-anchor:top;mso-position-horizontal-relative:page;mso-position-vertical-relative:page" wp14:anchorId="1723273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9" behindDoc="1" locked="0" layoutInCell="0" allowOverlap="1" wp14:anchorId="17232733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5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16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75pt;margin-top:753.55pt;width:35.55pt;height:13.1pt;mso-wrap-style:square;v-text-anchor:top;mso-position-horizontal-relative:page;mso-position-vertical-relative:page" wp14:anchorId="172327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3" behindDoc="1" locked="0" layoutInCell="0" allowOverlap="1" wp14:anchorId="4FAE8A88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813560" cy="231140"/>
              <wp:effectExtent l="0" t="0" r="0" b="0"/>
              <wp:wrapNone/>
              <wp:docPr id="6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3680" cy="23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24 port PoE Switch v1.5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4.45pt;margin-top:754.3pt;width:142.75pt;height:18.15pt;mso-wrap-style:square;v-text-anchor:top;mso-position-horizontal-relative:page;mso-position-vertical-relative:page" wp14:anchorId="4FAE8A8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24 port PoE Switch v1.5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15" behindDoc="1" locked="0" layoutInCell="0" allowOverlap="1" wp14:anchorId="17232732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7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984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04.15pt;margin-top:753.55pt;width:55.05pt;height:13.1pt;mso-wrap-style:square;v-text-anchor:top;mso-position-horizontal-relative:page;mso-position-vertical-relative:page" wp14:anchorId="1723273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29" behindDoc="1" locked="0" layoutInCell="0" allowOverlap="1" wp14:anchorId="17232733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8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16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508.75pt;margin-top:753.55pt;width:35.55pt;height:13.1pt;mso-wrap-style:square;v-text-anchor:top;mso-position-horizontal-relative:page;mso-position-vertical-relative:page" wp14:anchorId="1723273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43" behindDoc="1" locked="0" layoutInCell="0" allowOverlap="1" wp14:anchorId="4FAE8A88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813560" cy="231140"/>
              <wp:effectExtent l="0" t="0" r="0" b="0"/>
              <wp:wrapNone/>
              <wp:docPr id="9" name="Text 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3680" cy="23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24 port PoE Switch v1.5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84.45pt;margin-top:754.3pt;width:142.75pt;height:18.15pt;mso-wrap-style:square;v-text-anchor:top;mso-position-horizontal-relative:page;mso-position-vertical-relative:page" wp14:anchorId="4FAE8A8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24 port PoE Switch v1.5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</w:p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57" behindDoc="1" locked="0" layoutInCell="0" allowOverlap="1" wp14:anchorId="17232730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615950"/>
              <wp:effectExtent l="0" t="0" r="0" b="0"/>
              <wp:wrapNone/>
              <wp:docPr id="2" name="Text 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5200" cy="615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0.9pt;margin-top:33.05pt;width:257.05pt;height:48.45pt;mso-wrap-style:square;v-text-anchor:top;mso-position-horizontal-relative:page;mso-position-vertical-relative:page" wp14:anchorId="1723273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</w:p>
  <w:p>
    <w:pPr>
      <w:pStyle w:val="BodyText"/>
      <w:spacing w:lineRule="auto" w:line="14" w:before="0" w:after="0"/>
      <w:ind w:hanging="0"/>
      <w:rPr/>
    </w:pPr>
    <w:r>
      <w:rPr/>
      <mc:AlternateContent>
        <mc:Choice Requires="wps">
          <w:drawing>
            <wp:anchor distT="0" distB="0" distL="0" distR="0" simplePos="0" relativeHeight="57" behindDoc="1" locked="0" layoutInCell="0" allowOverlap="1" wp14:anchorId="17232730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615950"/>
              <wp:effectExtent l="0" t="0" r="0" b="0"/>
              <wp:wrapNone/>
              <wp:docPr id="3" name="Text 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65200" cy="615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0.9pt;margin-top:33.05pt;width:257.05pt;height:48.45pt;mso-wrap-style:square;v-text-anchor:top;mso-position-horizontal-relative:page;mso-position-vertical-relative:page" wp14:anchorId="1723273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5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upperLetter"/>
      <w:lvlText w:val="%1"/>
      <w:lvlJc w:val="left"/>
      <w:pPr>
        <w:tabs>
          <w:tab w:val="num" w:pos="0"/>
        </w:tabs>
        <w:ind w:left="1199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1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78" w:hanging="361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93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5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5"/>
      <w:numFmt w:val="upperLetter"/>
      <w:lvlText w:val="%1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0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2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840" w:hanging="272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272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272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72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272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272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272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72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272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f5927"/>
    <w:rPr>
      <w:rFonts w:ascii="Arial" w:hAnsi="Arial" w:eastAsia="Arial" w:cs="Aria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f5927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uiPriority w:val="1"/>
    <w:qFormat/>
    <w:rsid w:val="008f599a"/>
    <w:rPr>
      <w:rFonts w:ascii="Arial" w:hAnsi="Arial" w:eastAsia="Arial" w:cs="Arial"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6087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54" w:after="0"/>
      <w:ind w:hanging="361"/>
    </w:pPr>
    <w:rPr>
      <w:sz w:val="20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88" w:after="0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1" w:left="1559"/>
    </w:pPr>
    <w:rPr/>
  </w:style>
  <w:style w:type="paragraph" w:styleId="TableParagraph" w:customStyle="1">
    <w:name w:val="Table Paragraph"/>
    <w:basedOn w:val="Normal"/>
    <w:uiPriority w:val="1"/>
    <w:qFormat/>
    <w:pPr>
      <w:spacing w:before="73" w:after="0"/>
      <w:ind w:left="5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upport@bcdvideo.com" TargetMode="External"/><Relationship Id="rId4" Type="http://schemas.openxmlformats.org/officeDocument/2006/relationships/hyperlink" Target="http://www.bcdvideo.com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1148</Words>
  <Characters>6549</Characters>
  <CharactersWithSpaces>7682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2021-03-09T17:39:00Z</dcterms:created>
  <dc:creator>BCD Video</dc:creator>
  <dc:description/>
  <dc:language>en-US</dc:language>
  <cp:lastModifiedBy>Paul Blackshaw</cp:lastModifiedBy>
  <dcterms:modified xsi:type="dcterms:W3CDTF">2021-09-06T16:16:00Z</dcterms:modified>
  <cp:revision>42</cp:revision>
  <dc:subject/>
  <dc:title>BCDVideo 2RU A and E Specification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